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auto"/>
          <w:sz w:val="30"/>
          <w:szCs w:val="30"/>
          <w:lang w:val="zh-CN"/>
        </w:rPr>
      </w:pPr>
      <w:bookmarkStart w:id="0" w:name="_Toc451175401"/>
      <w:bookmarkStart w:id="1" w:name="_Toc165953556"/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val="zh-CN"/>
        </w:rPr>
        <w:t>10k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</w:rPr>
        <w:t>V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val="zh-CN"/>
        </w:rPr>
        <w:t>干式变压器技术</w:t>
      </w:r>
      <w:bookmarkEnd w:id="0"/>
      <w:bookmarkEnd w:id="1"/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lang w:val="zh-CN"/>
        </w:rPr>
        <w:t>协议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lang w:val="zh-CN"/>
        </w:rPr>
        <w:t>1  范围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本技术条件规定了10kV变压器的使用要求、技术参数、质量要求等。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lang w:val="zh-CN"/>
        </w:rPr>
        <w:t>2  应执行的标准和法律法规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规范书中所有设备及其备品备件，除本规范书中规定的技术参数和要求外，其余均应遵循最新版本的国家标准（GB）、电力行业标准（DL）和国际单位制（SI），这是对设备的最低要求。技术规范所提出的技术指标与投标人所执行的标准发生矛盾时，按较高标准执行。如果卖方有自已的标准或规范，应提供标准代号及其有关内容，并须经需方同意后方可采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 10228-2015  </w:t>
      </w:r>
      <w:r>
        <w:rPr>
          <w:rFonts w:hint="eastAsia" w:asciiTheme="minorEastAsia" w:hAnsiTheme="minorEastAsia" w:eastAsiaTheme="minorEastAsia"/>
          <w:color w:val="auto"/>
          <w:sz w:val="24"/>
        </w:rPr>
        <w:t>《干式电力变压器技术参数和要求》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 17468-2008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《电力变压器选用导则》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 1094.12-2013 </w:t>
      </w:r>
      <w:r>
        <w:rPr>
          <w:rFonts w:hint="eastAsia" w:asciiTheme="minorEastAsia" w:hAnsiTheme="minorEastAsia" w:eastAsiaTheme="minorEastAsia"/>
          <w:color w:val="auto"/>
          <w:sz w:val="24"/>
        </w:rPr>
        <w:t>《电力变压器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第12部分：干式电力变压器负载导则》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 1094.11-2007   </w:t>
      </w:r>
      <w:r>
        <w:rPr>
          <w:rFonts w:hint="eastAsia" w:asciiTheme="minorEastAsia" w:hAnsiTheme="minorEastAsia" w:eastAsiaTheme="minorEastAsia"/>
          <w:color w:val="auto"/>
          <w:sz w:val="24"/>
        </w:rPr>
        <w:t>《干式电力变压器》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 4208-2008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《外壳防护等级（IP代码）》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 311.1-2012     </w:t>
      </w:r>
      <w:r>
        <w:rPr>
          <w:rFonts w:hint="eastAsia" w:asciiTheme="minorEastAsia" w:hAnsiTheme="minorEastAsia" w:eastAsiaTheme="minorEastAsia"/>
          <w:color w:val="auto"/>
          <w:sz w:val="24"/>
        </w:rPr>
        <w:t>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188.188.0.22/page/tbsbrowser.cbs?urlname=tbss%3A%2F%2F2Ui9i38FjdQFtzPyn%2FDi%2DBtXPlYSg9SK0W3uM1xK3xYMt21gRcWz5SlKb1NWrpRNhnZ38qVziTlfwhSq1ELkgCd8afSSYnrI0H2C6cgNo92I96RFCkbJ%2F1Hcf%2FkYNK66wg4s91%2F3EqM9owbgYGKocT0SQHfjxE0Ko%2FteoJEdfcbkn1qvQqCNm6wVkz5DrnL6JVxTPR9X90rK7tP6TWgGlqZ2Q6j%2FMcCnyea7b7XKRc4XdSmifHGCx82jRVB6mMn7jjjZybEdHsg" \t "_blank" </w:instrText>
      </w:r>
      <w:r>
        <w:rPr>
          <w:color w:val="auto"/>
        </w:rPr>
        <w:fldChar w:fldCharType="separate"/>
      </w:r>
      <w:r>
        <w:rPr>
          <w:rFonts w:hint="eastAsia" w:asciiTheme="minorEastAsia" w:hAnsiTheme="minorEastAsia" w:eastAsiaTheme="minorEastAsia"/>
          <w:color w:val="auto"/>
          <w:sz w:val="24"/>
        </w:rPr>
        <w:t>绝缘配合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第1部分：定义、原则和规则</w:t>
      </w:r>
      <w:r>
        <w:rPr>
          <w:rFonts w:hint="eastAsia" w:asciiTheme="minorEastAsia" w:hAnsiTheme="minorEastAsia" w:eastAsiaTheme="minorEastAsia"/>
          <w:color w:val="auto"/>
          <w:sz w:val="24"/>
        </w:rPr>
        <w:fldChar w:fldCharType="end"/>
      </w:r>
      <w:r>
        <w:rPr>
          <w:rFonts w:hint="eastAsia" w:asciiTheme="minorEastAsia" w:hAnsiTheme="minorEastAsia" w:eastAsiaTheme="minorEastAsia"/>
          <w:color w:val="auto"/>
          <w:sz w:val="24"/>
        </w:rPr>
        <w:t>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 50150-2006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《电气装置安装工程电气设备交接试验标准》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GB/T191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包装储运图示标志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GB1094.1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电力变压器 第1部分:总则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GB1094.11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电力变压器 第11部分:干式变压器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GB/T2900.95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电工术语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变压器、调压器和电抗器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GB/T5273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变压器、高压电器和套管的接线端子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GB/T5465.2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电气设备用图形符号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第2部分:图形符号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JB/T501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电力变压器试验导则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 xml:space="preserve">JB/T10088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</w:rPr>
        <w:t xml:space="preserve">6kV~500kV </w:t>
      </w:r>
      <w:r>
        <w:rPr>
          <w:rFonts w:hint="eastAsia" w:asciiTheme="minorEastAsia" w:hAnsiTheme="minorEastAsia" w:eastAsiaTheme="minorEastAsia"/>
          <w:color w:val="auto"/>
          <w:sz w:val="24"/>
        </w:rPr>
        <w:t>级电力变压器声级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GB 20052-2013     三相配电变压器能效限定值及能效等级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以上标准均执行最新版本。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lang w:val="zh-CN"/>
        </w:rPr>
        <w:t>3  主要技术要求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3.1变压器技术要求</w:t>
      </w:r>
      <w:bookmarkStart w:id="2" w:name="_GoBack"/>
      <w:bookmarkEnd w:id="2"/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3.1.1 变压器选用SCB13-</w:t>
      </w:r>
      <w:r>
        <w:rPr>
          <w:rFonts w:hint="eastAsia" w:asciiTheme="majorEastAsia" w:hAnsiTheme="majorEastAsia" w:eastAsiaTheme="majorEastAsia"/>
          <w:color w:val="auto"/>
          <w:sz w:val="24"/>
        </w:rPr>
        <w:t>2500/10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环氧树脂浇注干式变压器。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3.1.2 变压器电压等级10/0.4kV，高压分接开关范围（10±2X2.5% ）kV。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3.1.3 变压器接线组别选用D/yn11。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3.1.4 短路阻抗电压Ud=</w:t>
      </w:r>
      <w:r>
        <w:rPr>
          <w:rFonts w:hint="eastAsia" w:asciiTheme="majorEastAsia" w:hAnsiTheme="majorEastAsia" w:eastAsiaTheme="majorEastAsia"/>
          <w:color w:val="auto"/>
          <w:sz w:val="24"/>
        </w:rPr>
        <w:t>6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%；</w:t>
      </w:r>
      <w:r>
        <w:rPr>
          <w:rFonts w:asciiTheme="majorEastAsia" w:hAnsiTheme="majorEastAsia" w:eastAsiaTheme="majorEastAsia"/>
          <w:color w:val="auto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3.1.5绝缘水平：H.V.LI/AC75/35 L.V -/3kV.冷却方式:AN/AF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3.1.6 变压器采用节能新技术、新材料进行设计和制造，变压器损耗符合</w:t>
      </w:r>
      <w:r>
        <w:rPr>
          <w:rFonts w:hint="eastAsia" w:asciiTheme="majorEastAsia" w:hAnsiTheme="majorEastAsia" w:eastAsiaTheme="majorEastAsia"/>
          <w:color w:val="auto"/>
          <w:sz w:val="24"/>
        </w:rPr>
        <w:t>国家标准要求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：</w:t>
      </w:r>
      <w:r>
        <w:rPr>
          <w:rFonts w:asciiTheme="majorEastAsia" w:hAnsiTheme="majorEastAsia" w:eastAsiaTheme="majorEastAsia"/>
          <w:b/>
          <w:color w:val="auto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jc w:val="center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lang w:val="zh-CN"/>
        </w:rPr>
        <w:t>主要技术性能参数表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62"/>
        <w:gridCol w:w="5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3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产品型式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SCB13-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2500/10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环氧树脂浇注干式变压器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SCB13-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630/10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环氧树脂浇注干式变压器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电压等级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10/0.4kV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最高工作电压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12kv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额定电压变比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（10±2X2.5% ）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/0.4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额定频率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绝缘等级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高压侧F级，低压侧F级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绕组平均温升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100K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绕组结构型式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高压全铜线绕，低压全铜箔式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联接组标号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Dyn11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冷却方式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AN/AF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绝缘水平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H.V.LI/AC75/35 L.V -/3kV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容量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2500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kVA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空载损耗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Theme="majorEastAsia" w:hAnsiTheme="majorEastAsia" w:eastAsiaTheme="majorEastAsia"/>
                <w:color w:val="auto"/>
                <w:sz w:val="24"/>
                <w:lang w:val="zh-CN"/>
              </w:rPr>
              <w:t>2.59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kW</w:t>
            </w:r>
            <w:r>
              <w:rPr>
                <w:rFonts w:asciiTheme="majorEastAsia" w:hAnsiTheme="majorEastAsia" w:eastAsiaTheme="majorEastAsia"/>
                <w:color w:val="auto"/>
                <w:sz w:val="24"/>
                <w:lang w:val="zh-CN"/>
              </w:rPr>
              <w:t>/0.935kw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负载损耗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 w:eastAsiaTheme="majorEastAsia"/>
                <w:color w:val="auto"/>
                <w:kern w:val="0"/>
                <w:sz w:val="22"/>
                <w:szCs w:val="22"/>
              </w:rPr>
              <w:t>15.4</w:t>
            </w:r>
            <w:r>
              <w:rPr>
                <w:rFonts w:hint="eastAsia" w:asciiTheme="majorEastAsia" w:hAnsiTheme="majorEastAsia" w:eastAsiaTheme="majorEastAsia"/>
                <w:color w:val="auto"/>
                <w:sz w:val="24"/>
                <w:lang w:val="zh-CN"/>
              </w:rPr>
              <w:t>kW</w:t>
            </w:r>
            <w:r>
              <w:rPr>
                <w:rFonts w:asciiTheme="majorEastAsia" w:hAnsiTheme="majorEastAsia" w:eastAsiaTheme="majorEastAsia"/>
                <w:color w:val="auto"/>
                <w:sz w:val="24"/>
                <w:lang w:val="zh-CN"/>
              </w:rPr>
              <w:t>/5.29kw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阻抗电压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噪声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≤50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重量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外壳尺寸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外形地基图以双方确认为准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轨距尺寸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外形地基图以双方确认为准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外壳材质</w:t>
            </w:r>
          </w:p>
        </w:tc>
        <w:tc>
          <w:tcPr>
            <w:tcW w:w="326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2.0mm冷轧钢板,颜色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同于低压盘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外壳防护等级</w:t>
            </w:r>
          </w:p>
        </w:tc>
        <w:tc>
          <w:tcPr>
            <w:tcW w:w="326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IP20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外壳颜色</w:t>
            </w:r>
          </w:p>
        </w:tc>
        <w:tc>
          <w:tcPr>
            <w:tcW w:w="326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根据用户要求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高压进线方式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电缆下进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低压出线方式</w:t>
            </w:r>
          </w:p>
        </w:tc>
        <w:tc>
          <w:tcPr>
            <w:tcW w:w="3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铜排侧出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3.1.7 变压器技术要求：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1）、变压器应能承受:在高压侧为无穷大供电电源,电源电压为</w:t>
      </w:r>
      <w:r>
        <w:rPr>
          <w:rFonts w:asciiTheme="minorEastAsia" w:hAnsiTheme="minorEastAsia" w:eastAsiaTheme="minorEastAsia"/>
          <w:color w:val="auto"/>
          <w:sz w:val="24"/>
        </w:rPr>
        <w:t>1</w:t>
      </w:r>
      <w:r>
        <w:rPr>
          <w:rFonts w:asciiTheme="minorEastAsia" w:hAnsiTheme="minorEastAsia" w:eastAsiaTheme="minorEastAsia"/>
          <w:color w:val="auto"/>
          <w:sz w:val="24"/>
        </w:rPr>
        <w:sym w:font="Symbol" w:char="F02E"/>
      </w:r>
      <w:r>
        <w:rPr>
          <w:rFonts w:asciiTheme="minorEastAsia" w:hAnsiTheme="minorEastAsia" w:eastAsiaTheme="minorEastAsia"/>
          <w:color w:val="auto"/>
          <w:sz w:val="24"/>
        </w:rPr>
        <w:t>05Ue</w:t>
      </w:r>
      <w:r>
        <w:rPr>
          <w:rFonts w:hint="eastAsia" w:asciiTheme="minorEastAsia" w:hAnsiTheme="minorEastAsia" w:eastAsiaTheme="minorEastAsia"/>
          <w:color w:val="auto"/>
          <w:sz w:val="24"/>
        </w:rPr>
        <w:t>，变压器处于任何分接头位置情况下，变压器低压侧出口发生三相短路, 短路热稳定等效时间为</w:t>
      </w:r>
      <w:r>
        <w:rPr>
          <w:rFonts w:asciiTheme="minorEastAsia" w:hAnsiTheme="minorEastAsia" w:eastAsia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</w:rPr>
        <w:t>秒，在此情况下，变压器绕组不应产生有害的机械变形和电气损伤，设备和部件不应发生损坏。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2）、当环境温度在40 ℃时，在自然空气冷却运行方式下应满足带100%额定负荷长期运行（即变压器额定容量应为空气自然冷却条件下、变压器封闭在变压器柜内的容量）。另外应提供在AF运行方式下,在环境温度不超过20 ℃和环境温度达到 40 ℃二种情况下能带长期运行的负荷值。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3）、产品散热性能好,机械强度高,不会因温度骤变，而在变压器运行寿命期限内导致线圈表面龟裂。</w:t>
      </w:r>
    </w:p>
    <w:p>
      <w:pPr>
        <w:pStyle w:val="13"/>
        <w:tabs>
          <w:tab w:val="left" w:pos="600"/>
          <w:tab w:val="left" w:pos="840"/>
          <w:tab w:val="left" w:pos="5640"/>
          <w:tab w:val="left" w:pos="5760"/>
        </w:tabs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4）、绕组材料：绕组采用全铜导体，高压采用线绕，低压采用箔式；应采用优质硅钢片，并采取避免涡流的有效措施。对铁芯应采取防腐措施,避免锈蚀。</w:t>
      </w:r>
    </w:p>
    <w:p>
      <w:pPr>
        <w:pStyle w:val="13"/>
        <w:tabs>
          <w:tab w:val="left" w:pos="600"/>
          <w:tab w:val="left" w:pos="840"/>
          <w:tab w:val="left" w:pos="5640"/>
          <w:tab w:val="left" w:pos="5760"/>
        </w:tabs>
        <w:spacing w:line="360" w:lineRule="auto"/>
        <w:ind w:firstLine="48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5）、铁芯损耗,励磁电流和磁噪音水平应限制在最低限度。局部放电量不应大于10pc。</w:t>
      </w:r>
    </w:p>
    <w:p>
      <w:pPr>
        <w:pStyle w:val="13"/>
        <w:tabs>
          <w:tab w:val="left" w:pos="600"/>
          <w:tab w:val="left" w:pos="840"/>
          <w:tab w:val="left" w:pos="5640"/>
          <w:tab w:val="left" w:pos="5760"/>
        </w:tabs>
        <w:spacing w:line="360" w:lineRule="auto"/>
        <w:ind w:firstLine="48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6）、变压器应能随时投入运行，在技术规范运行环境条件下，停止运行后6个月内可不经干燥而直接投入，并允许在正常环境温度下，能承受80%的突加负载。产品应具有良好的阻燃特性,自身不燃,遇到火源时，亦不会产生有害气体。</w:t>
      </w:r>
    </w:p>
    <w:p>
      <w:pPr>
        <w:pStyle w:val="13"/>
        <w:snapToGrid w:val="0"/>
        <w:spacing w:line="360" w:lineRule="auto"/>
        <w:ind w:firstLine="480"/>
        <w:rPr>
          <w:rFonts w:asciiTheme="minorEastAsia" w:hAnsiTheme="minorEastAsia" w:eastAsiaTheme="minorEastAsia"/>
          <w:snapToGrid w:val="0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7）、变压器应配风机及智能温度控制仪。温控器应包括自动控制风扇的功能，及温度报警和启动远方跳闸（温度高高功能）功能，风机测控功能，当需要时应可输出远方显示摸拟信号</w:t>
      </w:r>
      <w:r>
        <w:rPr>
          <w:rFonts w:asciiTheme="minorEastAsia" w:hAnsiTheme="minorEastAsia" w:eastAsiaTheme="minorEastAsia"/>
          <w:color w:val="auto"/>
          <w:sz w:val="24"/>
        </w:rPr>
        <w:t>(4-20mA)</w:t>
      </w:r>
      <w:r>
        <w:rPr>
          <w:rFonts w:hint="eastAsia" w:asciiTheme="minorEastAsia" w:hAnsiTheme="minorEastAsia" w:eastAsiaTheme="minorEastAsia"/>
          <w:color w:val="auto"/>
          <w:sz w:val="24"/>
        </w:rPr>
        <w:t>。温控器应有通信接口，通讯接口可采用RS485、RS422等。</w:t>
      </w:r>
      <w:r>
        <w:rPr>
          <w:rFonts w:asciiTheme="minorEastAsia" w:hAnsiTheme="minorEastAsia" w:eastAsiaTheme="minorEastAsia"/>
          <w:color w:val="auto"/>
          <w:sz w:val="24"/>
        </w:rPr>
        <w:t>超温报警（定值130℃）</w:t>
      </w:r>
      <w:r>
        <w:rPr>
          <w:rFonts w:hint="eastAsia" w:asciiTheme="minorEastAsia" w:hAnsiTheme="minorEastAsia" w:eastAsiaTheme="minorEastAsia"/>
          <w:color w:val="auto"/>
          <w:sz w:val="24"/>
        </w:rPr>
        <w:t>，</w:t>
      </w:r>
      <w:r>
        <w:rPr>
          <w:rFonts w:asciiTheme="minorEastAsia" w:hAnsiTheme="minorEastAsia" w:eastAsiaTheme="minorEastAsia"/>
          <w:color w:val="auto"/>
          <w:sz w:val="24"/>
        </w:rPr>
        <w:t>超温跳闸（定值150℃）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8）、变压器风扇的配置和布置应合理，风扇应能够手动或自动控制，并可通过操作开关实现不同运行状态。变压器配置的冷却风机的数量及功率与变压器匹配，并考虑足够备用。</w:t>
      </w:r>
    </w:p>
    <w:p>
      <w:pPr>
        <w:pStyle w:val="13"/>
        <w:tabs>
          <w:tab w:val="left" w:pos="600"/>
          <w:tab w:val="left" w:pos="840"/>
          <w:tab w:val="left" w:pos="5640"/>
          <w:tab w:val="left" w:pos="576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9）、变压器高压侧为电缆进线，顶部、底部均应留有穿线板，此板可根据现场电缆外径开孔。低压侧为硬母线侧出线。变压器厂家提供变压器外罩及安装母线所必需支撑绝缘子和支架；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10）、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变压器带外壳，</w:t>
      </w:r>
      <w:r>
        <w:rPr>
          <w:rFonts w:hint="eastAsia" w:asciiTheme="majorEastAsia" w:hAnsiTheme="majorEastAsia" w:eastAsiaTheme="majorEastAsia"/>
          <w:color w:val="auto"/>
          <w:sz w:val="24"/>
        </w:rPr>
        <w:t>外壳材质为冷轧钢板，颜色待定，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防护等级IP</w:t>
      </w:r>
      <w:r>
        <w:rPr>
          <w:rFonts w:hint="eastAsia" w:asciiTheme="majorEastAsia" w:hAnsiTheme="majorEastAsia" w:eastAsiaTheme="majorEastAsia"/>
          <w:color w:val="auto"/>
          <w:sz w:val="24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0。门设置电磁锁</w:t>
      </w:r>
      <w:r>
        <w:rPr>
          <w:rFonts w:hint="eastAsia" w:asciiTheme="majorEastAsia" w:hAnsiTheme="majorEastAsia" w:eastAsiaTheme="majorEastAsia"/>
          <w:color w:val="auto"/>
          <w:sz w:val="24"/>
        </w:rPr>
        <w:t>及行程开关；</w:t>
      </w:r>
      <w:r>
        <w:rPr>
          <w:rFonts w:hint="eastAsia" w:asciiTheme="minorEastAsia" w:hAnsiTheme="minorEastAsia" w:eastAsiaTheme="minorEastAsia"/>
          <w:color w:val="auto"/>
          <w:sz w:val="24"/>
        </w:rPr>
        <w:t>壳体正面及背面应留有双扇门，用以检修时充分接近柜内设备。壳体应采用坚固的钢支撑，外壳的钢支撑架等所有不载流部件应连接在一起，并通过接地母线接地。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11）、变压应装有铭牌，铭牌应用不锈钢材料制成，并安装在明显的位置上。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12）、变压器在出厂前应进行例行试验及型式试验（或提供同等级变压器的型式试验报告），所有试验均应在厂内完成。</w:t>
      </w:r>
    </w:p>
    <w:p>
      <w:pPr>
        <w:pStyle w:val="13"/>
        <w:autoSpaceDE w:val="0"/>
        <w:autoSpaceDN w:val="0"/>
        <w:adjustRightInd w:val="0"/>
        <w:snapToGrid w:val="0"/>
        <w:spacing w:line="360" w:lineRule="auto"/>
        <w:ind w:firstLine="48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13）、在正常条件下变压器使用寿命应不小于</w:t>
      </w:r>
      <w:r>
        <w:rPr>
          <w:rFonts w:asciiTheme="minorEastAsia" w:hAnsiTheme="minorEastAsia" w:eastAsiaTheme="minorEastAsia"/>
          <w:color w:val="auto"/>
          <w:sz w:val="24"/>
        </w:rPr>
        <w:t>30</w:t>
      </w:r>
      <w:r>
        <w:rPr>
          <w:rFonts w:hint="eastAsia" w:asciiTheme="minorEastAsia" w:hAnsiTheme="minorEastAsia" w:eastAsiaTheme="minorEastAsia"/>
          <w:color w:val="auto"/>
          <w:sz w:val="24"/>
        </w:rPr>
        <w:t>年。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3.1.8 变压器设计、制造、验收应符合GB1094.11-2007 《干式电力变压器》、GB/T10228-2008 《干式变压器技术参数和要求》的要求。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3.1.9变压器型号及数量见表1.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jc w:val="center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lang w:val="zh-CN"/>
        </w:rPr>
        <w:t>表1： 变压器型号及数量（供货范围表）</w:t>
      </w:r>
    </w:p>
    <w:tbl>
      <w:tblPr>
        <w:tblStyle w:val="9"/>
        <w:tblW w:w="589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77"/>
        <w:gridCol w:w="2344"/>
        <w:gridCol w:w="1649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lang w:val="zh-CN"/>
              </w:rPr>
              <w:t>序号</w:t>
            </w:r>
          </w:p>
        </w:tc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lang w:val="zh-CN"/>
              </w:rPr>
              <w:t>名称</w:t>
            </w:r>
          </w:p>
        </w:tc>
        <w:tc>
          <w:tcPr>
            <w:tcW w:w="116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lang w:val="zh-CN"/>
              </w:rPr>
              <w:t>规格型号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lang w:val="zh-CN"/>
              </w:rPr>
              <w:t>数量（台）</w:t>
            </w:r>
          </w:p>
        </w:tc>
        <w:tc>
          <w:tcPr>
            <w:tcW w:w="173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9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1</w:t>
            </w:r>
          </w:p>
        </w:tc>
        <w:tc>
          <w:tcPr>
            <w:tcW w:w="78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干式变压器</w:t>
            </w:r>
          </w:p>
        </w:tc>
        <w:tc>
          <w:tcPr>
            <w:tcW w:w="116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SCB13-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250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0/10/0.4kV</w:t>
            </w:r>
          </w:p>
        </w:tc>
        <w:tc>
          <w:tcPr>
            <w:tcW w:w="821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2</w:t>
            </w:r>
          </w:p>
        </w:tc>
        <w:tc>
          <w:tcPr>
            <w:tcW w:w="1731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含风机、温控、外壳及连接铜排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干式变压器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SCB13-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630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/10/0.4kV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1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含风机、温控、外壳及连接铜排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合计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zh-CN"/>
              </w:rPr>
              <w:t>3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auto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4</w:t>
      </w:r>
      <w:r>
        <w:rPr>
          <w:rFonts w:hint="eastAsia" w:asciiTheme="majorEastAsia" w:hAnsiTheme="majorEastAsia" w:eastAsiaTheme="majorEastAsia"/>
          <w:b/>
          <w:color w:val="auto"/>
          <w:sz w:val="24"/>
          <w:lang w:val="zh-CN"/>
        </w:rPr>
        <w:t xml:space="preserve">  检验及验收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</w:t>
      </w:r>
      <w:r>
        <w:rPr>
          <w:rFonts w:asciiTheme="majorEastAsia" w:hAnsiTheme="majorEastAsia" w:eastAsiaTheme="majorEastAsia"/>
          <w:color w:val="auto"/>
          <w:sz w:val="24"/>
          <w:lang w:val="zh-CN"/>
        </w:rPr>
        <w:t xml:space="preserve">.1 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设备的最终验收在买方进行。卖方能提供相关的证明，符合本技术条件及国家有关设备制造标准，按本技术条件及相应</w:t>
      </w:r>
      <w:r>
        <w:rPr>
          <w:rFonts w:asciiTheme="majorEastAsia" w:hAnsiTheme="majorEastAsia" w:eastAsiaTheme="majorEastAsia"/>
          <w:color w:val="auto"/>
          <w:sz w:val="24"/>
          <w:lang w:val="zh-CN"/>
        </w:rPr>
        <w:t>GB50150-2006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《电气设备交接试验标准标准》要求进行相关耐压试验且合格，以保证设备质量。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</w:t>
      </w:r>
      <w:r>
        <w:rPr>
          <w:rFonts w:asciiTheme="majorEastAsia" w:hAnsiTheme="majorEastAsia" w:eastAsiaTheme="majorEastAsia"/>
          <w:color w:val="auto"/>
          <w:sz w:val="24"/>
          <w:lang w:val="zh-CN"/>
        </w:rPr>
        <w:t xml:space="preserve">.2 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装置进行交接验证时，须经买方试验合格后才能正式进行验收。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</w:t>
      </w:r>
      <w:r>
        <w:rPr>
          <w:rFonts w:asciiTheme="majorEastAsia" w:hAnsiTheme="majorEastAsia" w:eastAsiaTheme="majorEastAsia"/>
          <w:color w:val="auto"/>
          <w:sz w:val="24"/>
          <w:lang w:val="zh-CN"/>
        </w:rPr>
        <w:t xml:space="preserve">.3 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生产厂家提供设备的质量控制文件、产品合格证和保修凭证、相关出厂检验报告、使用维修说明书以及相关的技术资料等，合资产品应提供企业合资证明，并保证其有效性。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ajorEastAsia" w:hAnsiTheme="majorEastAsia" w:eastAsiaTheme="maj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4.4</w:t>
      </w:r>
      <w:r>
        <w:rPr>
          <w:rFonts w:asciiTheme="majorEastAsia" w:hAnsiTheme="majorEastAsia" w:eastAsiaTheme="majorEastAsia"/>
          <w:color w:val="auto"/>
          <w:sz w:val="24"/>
          <w:lang w:val="zh-CN"/>
        </w:rPr>
        <w:t xml:space="preserve"> 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>为了确保该设备在现场的安装、试验、调试及技术培训，我方应派技术人员到现场进行技术指导，并按项目时间节点要求执行。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Theme="minorEastAsia" w:hAnsiTheme="minorEastAsia" w:eastAsiaTheme="minorEastAsia"/>
          <w:color w:val="auto"/>
          <w:sz w:val="24"/>
          <w:lang w:val="zh-CN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4.5</w:t>
      </w:r>
      <w:r>
        <w:rPr>
          <w:rFonts w:hint="eastAsia" w:asciiTheme="majorEastAsia" w:hAnsiTheme="majorEastAsia" w:eastAsiaTheme="majorEastAsia"/>
          <w:color w:val="auto"/>
          <w:sz w:val="24"/>
          <w:lang w:val="zh-CN"/>
        </w:rPr>
        <w:t xml:space="preserve"> 招标人必要时可到制造商生产现场进行监造。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4445"/>
    <w:rsid w:val="000175B5"/>
    <w:rsid w:val="00017EC6"/>
    <w:rsid w:val="000512E9"/>
    <w:rsid w:val="00057747"/>
    <w:rsid w:val="000608C8"/>
    <w:rsid w:val="000720D5"/>
    <w:rsid w:val="0007544F"/>
    <w:rsid w:val="00077513"/>
    <w:rsid w:val="000810F4"/>
    <w:rsid w:val="00085C7E"/>
    <w:rsid w:val="00090DD4"/>
    <w:rsid w:val="000957F8"/>
    <w:rsid w:val="000A44B6"/>
    <w:rsid w:val="000A470B"/>
    <w:rsid w:val="000B1842"/>
    <w:rsid w:val="000B530B"/>
    <w:rsid w:val="000C1AD5"/>
    <w:rsid w:val="000C5CBC"/>
    <w:rsid w:val="000C6972"/>
    <w:rsid w:val="000D52C8"/>
    <w:rsid w:val="000E56EB"/>
    <w:rsid w:val="000F30B0"/>
    <w:rsid w:val="000F77F9"/>
    <w:rsid w:val="0010028C"/>
    <w:rsid w:val="00100B15"/>
    <w:rsid w:val="00100F34"/>
    <w:rsid w:val="00111F36"/>
    <w:rsid w:val="00121DC4"/>
    <w:rsid w:val="00125104"/>
    <w:rsid w:val="00132F5C"/>
    <w:rsid w:val="00143E2B"/>
    <w:rsid w:val="0015177F"/>
    <w:rsid w:val="0016098B"/>
    <w:rsid w:val="001657F7"/>
    <w:rsid w:val="00170400"/>
    <w:rsid w:val="00171A51"/>
    <w:rsid w:val="00183F82"/>
    <w:rsid w:val="00184A62"/>
    <w:rsid w:val="00186868"/>
    <w:rsid w:val="001A6028"/>
    <w:rsid w:val="001B34FF"/>
    <w:rsid w:val="001B5AD4"/>
    <w:rsid w:val="001B5CFF"/>
    <w:rsid w:val="001B64AF"/>
    <w:rsid w:val="001C0A2F"/>
    <w:rsid w:val="001C27E4"/>
    <w:rsid w:val="001D0D9A"/>
    <w:rsid w:val="001D301E"/>
    <w:rsid w:val="001D423E"/>
    <w:rsid w:val="001D5D8B"/>
    <w:rsid w:val="001E4152"/>
    <w:rsid w:val="001E5654"/>
    <w:rsid w:val="001F2500"/>
    <w:rsid w:val="001F707A"/>
    <w:rsid w:val="002064C6"/>
    <w:rsid w:val="00231362"/>
    <w:rsid w:val="00237C46"/>
    <w:rsid w:val="00250704"/>
    <w:rsid w:val="00263171"/>
    <w:rsid w:val="002707E1"/>
    <w:rsid w:val="00272DF7"/>
    <w:rsid w:val="00276657"/>
    <w:rsid w:val="002866C1"/>
    <w:rsid w:val="002908AC"/>
    <w:rsid w:val="00291CF0"/>
    <w:rsid w:val="00297247"/>
    <w:rsid w:val="002A37CE"/>
    <w:rsid w:val="002A4579"/>
    <w:rsid w:val="002A645D"/>
    <w:rsid w:val="002A6FB0"/>
    <w:rsid w:val="002B0D53"/>
    <w:rsid w:val="002D28A7"/>
    <w:rsid w:val="002D2E2D"/>
    <w:rsid w:val="002D5154"/>
    <w:rsid w:val="002D6D5E"/>
    <w:rsid w:val="002E160A"/>
    <w:rsid w:val="002F2B85"/>
    <w:rsid w:val="002F6B57"/>
    <w:rsid w:val="002F70A9"/>
    <w:rsid w:val="0030628C"/>
    <w:rsid w:val="0033067C"/>
    <w:rsid w:val="003328F3"/>
    <w:rsid w:val="003343C5"/>
    <w:rsid w:val="003364FF"/>
    <w:rsid w:val="00336B8B"/>
    <w:rsid w:val="00340C20"/>
    <w:rsid w:val="00346C42"/>
    <w:rsid w:val="00354B90"/>
    <w:rsid w:val="0036337E"/>
    <w:rsid w:val="00364445"/>
    <w:rsid w:val="00376344"/>
    <w:rsid w:val="0038581F"/>
    <w:rsid w:val="00393777"/>
    <w:rsid w:val="003A5A70"/>
    <w:rsid w:val="003B48AB"/>
    <w:rsid w:val="003B540E"/>
    <w:rsid w:val="003C2D44"/>
    <w:rsid w:val="003C47A6"/>
    <w:rsid w:val="003C4889"/>
    <w:rsid w:val="003C7338"/>
    <w:rsid w:val="003D709E"/>
    <w:rsid w:val="003E72D5"/>
    <w:rsid w:val="003F447D"/>
    <w:rsid w:val="003F7156"/>
    <w:rsid w:val="00402B72"/>
    <w:rsid w:val="00410BB3"/>
    <w:rsid w:val="004213BD"/>
    <w:rsid w:val="00421765"/>
    <w:rsid w:val="00424D84"/>
    <w:rsid w:val="00435DA6"/>
    <w:rsid w:val="004367BE"/>
    <w:rsid w:val="004462FA"/>
    <w:rsid w:val="00446EB3"/>
    <w:rsid w:val="00447175"/>
    <w:rsid w:val="00470F65"/>
    <w:rsid w:val="00481F18"/>
    <w:rsid w:val="0049097A"/>
    <w:rsid w:val="004951B7"/>
    <w:rsid w:val="00496D0E"/>
    <w:rsid w:val="00497D77"/>
    <w:rsid w:val="004B1BB3"/>
    <w:rsid w:val="004B5ECA"/>
    <w:rsid w:val="004C44D8"/>
    <w:rsid w:val="004D1A3A"/>
    <w:rsid w:val="004D2AD4"/>
    <w:rsid w:val="004E00CE"/>
    <w:rsid w:val="004E375C"/>
    <w:rsid w:val="00500B19"/>
    <w:rsid w:val="0050554C"/>
    <w:rsid w:val="00510552"/>
    <w:rsid w:val="0051270B"/>
    <w:rsid w:val="00520D56"/>
    <w:rsid w:val="0052599C"/>
    <w:rsid w:val="005307C9"/>
    <w:rsid w:val="00532FED"/>
    <w:rsid w:val="00534F54"/>
    <w:rsid w:val="005376AC"/>
    <w:rsid w:val="00552A21"/>
    <w:rsid w:val="00555346"/>
    <w:rsid w:val="0056054B"/>
    <w:rsid w:val="00567432"/>
    <w:rsid w:val="005674D6"/>
    <w:rsid w:val="00576B51"/>
    <w:rsid w:val="0058558A"/>
    <w:rsid w:val="005932E6"/>
    <w:rsid w:val="005A2384"/>
    <w:rsid w:val="005B153F"/>
    <w:rsid w:val="005B593E"/>
    <w:rsid w:val="005C0833"/>
    <w:rsid w:val="005C2EF6"/>
    <w:rsid w:val="005C2F84"/>
    <w:rsid w:val="005C4E2F"/>
    <w:rsid w:val="005D00F5"/>
    <w:rsid w:val="005E5EA6"/>
    <w:rsid w:val="005F2381"/>
    <w:rsid w:val="006052AC"/>
    <w:rsid w:val="00605CE4"/>
    <w:rsid w:val="0061605B"/>
    <w:rsid w:val="00646794"/>
    <w:rsid w:val="00646EF8"/>
    <w:rsid w:val="00647174"/>
    <w:rsid w:val="006639B4"/>
    <w:rsid w:val="00670291"/>
    <w:rsid w:val="00672410"/>
    <w:rsid w:val="00684561"/>
    <w:rsid w:val="00684D1A"/>
    <w:rsid w:val="006901DB"/>
    <w:rsid w:val="00694F75"/>
    <w:rsid w:val="006B5A92"/>
    <w:rsid w:val="006C0A46"/>
    <w:rsid w:val="006C1716"/>
    <w:rsid w:val="006C3F6F"/>
    <w:rsid w:val="006C5BFC"/>
    <w:rsid w:val="006C7D39"/>
    <w:rsid w:val="006D07D5"/>
    <w:rsid w:val="006D0D7F"/>
    <w:rsid w:val="006D6508"/>
    <w:rsid w:val="006D6743"/>
    <w:rsid w:val="006E2B46"/>
    <w:rsid w:val="006F4E2A"/>
    <w:rsid w:val="00704125"/>
    <w:rsid w:val="007041CC"/>
    <w:rsid w:val="00706158"/>
    <w:rsid w:val="00710C66"/>
    <w:rsid w:val="00726220"/>
    <w:rsid w:val="007340E4"/>
    <w:rsid w:val="00735728"/>
    <w:rsid w:val="007435DC"/>
    <w:rsid w:val="00747C13"/>
    <w:rsid w:val="00751BD2"/>
    <w:rsid w:val="00753499"/>
    <w:rsid w:val="007673C3"/>
    <w:rsid w:val="007678C6"/>
    <w:rsid w:val="00781B71"/>
    <w:rsid w:val="00785488"/>
    <w:rsid w:val="007951BE"/>
    <w:rsid w:val="0079639F"/>
    <w:rsid w:val="007A2481"/>
    <w:rsid w:val="007A42D2"/>
    <w:rsid w:val="007B4EB3"/>
    <w:rsid w:val="007B50C5"/>
    <w:rsid w:val="007C0E61"/>
    <w:rsid w:val="007C62E3"/>
    <w:rsid w:val="007D3C0D"/>
    <w:rsid w:val="007D6972"/>
    <w:rsid w:val="007F300F"/>
    <w:rsid w:val="007F7FB3"/>
    <w:rsid w:val="00802E36"/>
    <w:rsid w:val="00810C20"/>
    <w:rsid w:val="008153C1"/>
    <w:rsid w:val="00816E3D"/>
    <w:rsid w:val="008315A9"/>
    <w:rsid w:val="00833579"/>
    <w:rsid w:val="008347E2"/>
    <w:rsid w:val="008477DA"/>
    <w:rsid w:val="00847F22"/>
    <w:rsid w:val="00847FA1"/>
    <w:rsid w:val="00853D13"/>
    <w:rsid w:val="008634B4"/>
    <w:rsid w:val="008767A3"/>
    <w:rsid w:val="0088448B"/>
    <w:rsid w:val="00895E71"/>
    <w:rsid w:val="008A3EF2"/>
    <w:rsid w:val="008A57F8"/>
    <w:rsid w:val="008A6D71"/>
    <w:rsid w:val="008B0C26"/>
    <w:rsid w:val="008B5D46"/>
    <w:rsid w:val="008B7882"/>
    <w:rsid w:val="008C60AD"/>
    <w:rsid w:val="008C65B6"/>
    <w:rsid w:val="008D0950"/>
    <w:rsid w:val="008D6D15"/>
    <w:rsid w:val="008E1224"/>
    <w:rsid w:val="008E4F67"/>
    <w:rsid w:val="008E5374"/>
    <w:rsid w:val="008F0CAC"/>
    <w:rsid w:val="008F506E"/>
    <w:rsid w:val="008F5F03"/>
    <w:rsid w:val="009040F8"/>
    <w:rsid w:val="0093422D"/>
    <w:rsid w:val="0095271F"/>
    <w:rsid w:val="00955B23"/>
    <w:rsid w:val="009671A2"/>
    <w:rsid w:val="0097006C"/>
    <w:rsid w:val="00972E48"/>
    <w:rsid w:val="009805BF"/>
    <w:rsid w:val="00985072"/>
    <w:rsid w:val="00995E4F"/>
    <w:rsid w:val="009A02FF"/>
    <w:rsid w:val="009A72E4"/>
    <w:rsid w:val="009B19CB"/>
    <w:rsid w:val="009B3172"/>
    <w:rsid w:val="009C1347"/>
    <w:rsid w:val="009C2727"/>
    <w:rsid w:val="009C4FEF"/>
    <w:rsid w:val="009D203D"/>
    <w:rsid w:val="009F627A"/>
    <w:rsid w:val="00A00330"/>
    <w:rsid w:val="00A02375"/>
    <w:rsid w:val="00A05E0B"/>
    <w:rsid w:val="00A11740"/>
    <w:rsid w:val="00A13886"/>
    <w:rsid w:val="00A15F4F"/>
    <w:rsid w:val="00A21CD4"/>
    <w:rsid w:val="00A3462D"/>
    <w:rsid w:val="00A47FE2"/>
    <w:rsid w:val="00A5262B"/>
    <w:rsid w:val="00A53DD0"/>
    <w:rsid w:val="00A650BF"/>
    <w:rsid w:val="00A7091E"/>
    <w:rsid w:val="00A7645B"/>
    <w:rsid w:val="00A76B5A"/>
    <w:rsid w:val="00A82652"/>
    <w:rsid w:val="00A83B45"/>
    <w:rsid w:val="00A84CA6"/>
    <w:rsid w:val="00A872D5"/>
    <w:rsid w:val="00A9764D"/>
    <w:rsid w:val="00AA2930"/>
    <w:rsid w:val="00AA486B"/>
    <w:rsid w:val="00AA5548"/>
    <w:rsid w:val="00AA6CAE"/>
    <w:rsid w:val="00AC2CDC"/>
    <w:rsid w:val="00AC78B9"/>
    <w:rsid w:val="00AD0A4E"/>
    <w:rsid w:val="00AD46FA"/>
    <w:rsid w:val="00AE4C71"/>
    <w:rsid w:val="00AF3257"/>
    <w:rsid w:val="00B04CC2"/>
    <w:rsid w:val="00B13633"/>
    <w:rsid w:val="00B165B7"/>
    <w:rsid w:val="00B246A9"/>
    <w:rsid w:val="00B31D47"/>
    <w:rsid w:val="00B32A9F"/>
    <w:rsid w:val="00B72B5E"/>
    <w:rsid w:val="00B7571C"/>
    <w:rsid w:val="00B76AA7"/>
    <w:rsid w:val="00B90D52"/>
    <w:rsid w:val="00B913D8"/>
    <w:rsid w:val="00BA6327"/>
    <w:rsid w:val="00BB00D5"/>
    <w:rsid w:val="00BB3146"/>
    <w:rsid w:val="00BC3434"/>
    <w:rsid w:val="00BD5DF2"/>
    <w:rsid w:val="00BD7218"/>
    <w:rsid w:val="00BD7EC4"/>
    <w:rsid w:val="00C03828"/>
    <w:rsid w:val="00C03F08"/>
    <w:rsid w:val="00C07979"/>
    <w:rsid w:val="00C15315"/>
    <w:rsid w:val="00C24CB2"/>
    <w:rsid w:val="00C24EA1"/>
    <w:rsid w:val="00C4495D"/>
    <w:rsid w:val="00C524E4"/>
    <w:rsid w:val="00C72D22"/>
    <w:rsid w:val="00C9485D"/>
    <w:rsid w:val="00C95168"/>
    <w:rsid w:val="00CA28BD"/>
    <w:rsid w:val="00CB3349"/>
    <w:rsid w:val="00CB7FA7"/>
    <w:rsid w:val="00CC22D1"/>
    <w:rsid w:val="00CC3158"/>
    <w:rsid w:val="00CD4291"/>
    <w:rsid w:val="00CD5138"/>
    <w:rsid w:val="00CE152B"/>
    <w:rsid w:val="00CF3AB5"/>
    <w:rsid w:val="00CF583A"/>
    <w:rsid w:val="00D00B80"/>
    <w:rsid w:val="00D05EC4"/>
    <w:rsid w:val="00D101EF"/>
    <w:rsid w:val="00D10C78"/>
    <w:rsid w:val="00D1354B"/>
    <w:rsid w:val="00D220DF"/>
    <w:rsid w:val="00D36B48"/>
    <w:rsid w:val="00D447D1"/>
    <w:rsid w:val="00D465BF"/>
    <w:rsid w:val="00D532C3"/>
    <w:rsid w:val="00D5600E"/>
    <w:rsid w:val="00D573CC"/>
    <w:rsid w:val="00D61967"/>
    <w:rsid w:val="00D6463B"/>
    <w:rsid w:val="00D73B96"/>
    <w:rsid w:val="00D7713C"/>
    <w:rsid w:val="00D775F4"/>
    <w:rsid w:val="00D816F6"/>
    <w:rsid w:val="00D84A20"/>
    <w:rsid w:val="00D85DDD"/>
    <w:rsid w:val="00D91FCC"/>
    <w:rsid w:val="00D97666"/>
    <w:rsid w:val="00DA483A"/>
    <w:rsid w:val="00DA7F0A"/>
    <w:rsid w:val="00DB088C"/>
    <w:rsid w:val="00DB3560"/>
    <w:rsid w:val="00DC50D1"/>
    <w:rsid w:val="00DD00A4"/>
    <w:rsid w:val="00DD3817"/>
    <w:rsid w:val="00DD4126"/>
    <w:rsid w:val="00DD75C6"/>
    <w:rsid w:val="00DE114B"/>
    <w:rsid w:val="00DE217E"/>
    <w:rsid w:val="00E00F47"/>
    <w:rsid w:val="00E02E4B"/>
    <w:rsid w:val="00E25C59"/>
    <w:rsid w:val="00E308EE"/>
    <w:rsid w:val="00E36E0C"/>
    <w:rsid w:val="00E43577"/>
    <w:rsid w:val="00E5220A"/>
    <w:rsid w:val="00E67972"/>
    <w:rsid w:val="00E72B12"/>
    <w:rsid w:val="00E90303"/>
    <w:rsid w:val="00E915DE"/>
    <w:rsid w:val="00E93324"/>
    <w:rsid w:val="00EA1406"/>
    <w:rsid w:val="00EA6158"/>
    <w:rsid w:val="00EA6908"/>
    <w:rsid w:val="00EB4A74"/>
    <w:rsid w:val="00EB541C"/>
    <w:rsid w:val="00EB6035"/>
    <w:rsid w:val="00EB701A"/>
    <w:rsid w:val="00EC0E18"/>
    <w:rsid w:val="00EC352F"/>
    <w:rsid w:val="00EE1F17"/>
    <w:rsid w:val="00EE281E"/>
    <w:rsid w:val="00EE413E"/>
    <w:rsid w:val="00EE6056"/>
    <w:rsid w:val="00EF113A"/>
    <w:rsid w:val="00EF1981"/>
    <w:rsid w:val="00EF57CB"/>
    <w:rsid w:val="00F05C01"/>
    <w:rsid w:val="00F10EED"/>
    <w:rsid w:val="00F114D4"/>
    <w:rsid w:val="00F255FD"/>
    <w:rsid w:val="00F27EEE"/>
    <w:rsid w:val="00F308EA"/>
    <w:rsid w:val="00F330BA"/>
    <w:rsid w:val="00F3605A"/>
    <w:rsid w:val="00F427A3"/>
    <w:rsid w:val="00F44B95"/>
    <w:rsid w:val="00F47B59"/>
    <w:rsid w:val="00F5153F"/>
    <w:rsid w:val="00F5372F"/>
    <w:rsid w:val="00F5507C"/>
    <w:rsid w:val="00F55B50"/>
    <w:rsid w:val="00F63151"/>
    <w:rsid w:val="00F644F3"/>
    <w:rsid w:val="00F6535A"/>
    <w:rsid w:val="00F822D3"/>
    <w:rsid w:val="00F87DDE"/>
    <w:rsid w:val="00F93521"/>
    <w:rsid w:val="00FA3CE8"/>
    <w:rsid w:val="00FA4462"/>
    <w:rsid w:val="00FB2C6C"/>
    <w:rsid w:val="00FB32D7"/>
    <w:rsid w:val="00FB6648"/>
    <w:rsid w:val="00FB6964"/>
    <w:rsid w:val="00FC6C16"/>
    <w:rsid w:val="00FE1272"/>
    <w:rsid w:val="00FF54AE"/>
    <w:rsid w:val="00FF6582"/>
    <w:rsid w:val="17050E7D"/>
    <w:rsid w:val="17932D0B"/>
    <w:rsid w:val="24CB7A37"/>
    <w:rsid w:val="279F2233"/>
    <w:rsid w:val="464D3584"/>
    <w:rsid w:val="68AB197E"/>
    <w:rsid w:val="7AD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adjustRightInd w:val="0"/>
      <w:spacing w:before="240" w:after="240" w:line="360" w:lineRule="auto"/>
      <w:textAlignment w:val="baseline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adjustRightInd w:val="0"/>
      <w:spacing w:before="240" w:after="120" w:line="360" w:lineRule="auto"/>
      <w:textAlignment w:val="baseline"/>
      <w:outlineLvl w:val="1"/>
    </w:pPr>
    <w:rPr>
      <w:rFonts w:ascii="宋体"/>
      <w:b/>
      <w:kern w:val="44"/>
      <w:sz w:val="3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itle"/>
    <w:basedOn w:val="1"/>
    <w:next w:val="1"/>
    <w:link w:val="14"/>
    <w:qFormat/>
    <w:uiPriority w:val="10"/>
    <w:pPr>
      <w:spacing w:line="360" w:lineRule="auto"/>
      <w:jc w:val="center"/>
      <w:outlineLvl w:val="2"/>
    </w:pPr>
    <w:rPr>
      <w:rFonts w:ascii="Cambria" w:hAnsi="Cambria"/>
      <w:b/>
      <w:bCs/>
      <w:sz w:val="24"/>
      <w:szCs w:val="32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Char"/>
    <w:basedOn w:val="10"/>
    <w:link w:val="8"/>
    <w:qFormat/>
    <w:uiPriority w:val="10"/>
    <w:rPr>
      <w:rFonts w:ascii="Cambria" w:hAnsi="Cambria" w:eastAsia="宋体" w:cs="Times New Roman"/>
      <w:b/>
      <w:bCs/>
      <w:sz w:val="24"/>
      <w:szCs w:val="32"/>
    </w:rPr>
  </w:style>
  <w:style w:type="paragraph" w:customStyle="1" w:styleId="15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16">
    <w:name w:val="表内字"/>
    <w:basedOn w:val="1"/>
    <w:qFormat/>
    <w:uiPriority w:val="0"/>
    <w:pPr>
      <w:topLinePunct/>
      <w:adjustRightInd w:val="0"/>
      <w:textAlignment w:val="baseline"/>
    </w:pPr>
    <w:rPr>
      <w:snapToGrid w:val="0"/>
      <w:kern w:val="0"/>
    </w:rPr>
  </w:style>
  <w:style w:type="character" w:customStyle="1" w:styleId="17">
    <w:name w:val="标题 1 Char"/>
    <w:basedOn w:val="10"/>
    <w:link w:val="2"/>
    <w:qFormat/>
    <w:uiPriority w:val="0"/>
    <w:rPr>
      <w:rFonts w:ascii="宋体" w:hAnsi="Times New Roman" w:eastAsia="宋体" w:cs="Times New Roman"/>
      <w:b/>
      <w:kern w:val="44"/>
      <w:sz w:val="32"/>
      <w:szCs w:val="20"/>
    </w:rPr>
  </w:style>
  <w:style w:type="character" w:customStyle="1" w:styleId="18">
    <w:name w:val="标题 2 Char"/>
    <w:basedOn w:val="10"/>
    <w:link w:val="3"/>
    <w:qFormat/>
    <w:uiPriority w:val="0"/>
    <w:rPr>
      <w:rFonts w:ascii="宋体" w:hAnsi="Times New Roman" w:eastAsia="宋体" w:cs="Times New Roman"/>
      <w:b/>
      <w:kern w:val="44"/>
      <w:sz w:val="30"/>
      <w:szCs w:val="20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00996-59E9-46A1-972C-09B7406D3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529</Words>
  <Characters>3018</Characters>
  <Lines>25</Lines>
  <Paragraphs>7</Paragraphs>
  <TotalTime>202</TotalTime>
  <ScaleCrop>false</ScaleCrop>
  <LinksUpToDate>false</LinksUpToDate>
  <CharactersWithSpaces>3540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2016-06-02T02:09:00Z</dcterms:created>
  <dc:creator>530La</dc:creator>
  <cp:lastModifiedBy>Administrator</cp:lastModifiedBy>
  <dcterms:modified xsi:type="dcterms:W3CDTF">2021-05-05T23:56:32Z</dcterms:modified>
  <cp:revision>445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180B762F74AE4AA8A715AE47AE0D767D</vt:lpwstr>
  </property>
</Properties>
</file>